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承德</w:t>
      </w:r>
      <w:r>
        <w:rPr>
          <w:rFonts w:hint="eastAsia" w:ascii="宋体" w:hAnsi="宋体" w:cs="宋体"/>
          <w:color w:val="000000"/>
          <w:sz w:val="32"/>
          <w:szCs w:val="32"/>
        </w:rPr>
        <w:t>县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不动产登记中心</w:t>
      </w:r>
    </w:p>
    <w:p>
      <w:pPr>
        <w:jc w:val="center"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国有建设用地使用权及房屋所有权</w:t>
      </w:r>
      <w:r>
        <w:rPr>
          <w:rFonts w:hint="eastAsia" w:ascii="宋体" w:hAnsi="宋体" w:cs="宋体"/>
          <w:color w:val="000000"/>
          <w:sz w:val="32"/>
          <w:szCs w:val="32"/>
        </w:rPr>
        <w:t>变更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登记办事指南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属性名称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事项名称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国有建设用地使用权及房屋所有权变更登记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承办机构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实施对象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设定依据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《中华人民共和国民法典》（中华人民共和国主席令第45号）第二百零九条、第二百一十条、第三百四十九条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</w:t>
            </w:r>
            <w:r>
              <w:rPr>
                <w:rFonts w:ascii="仿宋" w:hAnsi="仿宋" w:eastAsia="仿宋"/>
                <w:szCs w:val="21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Cs w:val="21"/>
              </w:rPr>
              <w:t>国务院令第656号</w:t>
            </w:r>
            <w:r>
              <w:rPr>
                <w:rFonts w:ascii="仿宋" w:hAnsi="仿宋" w:eastAsia="仿宋"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申请材料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1、不动产登记申请书；2、申请人身份证明；3、不动产权属证书；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4、国有建设用地使用权及房屋所有权变更的材料，包括：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 xml:space="preserve">（1）权利人姓名或者名称、身份证明类型或者身份证明号码发生变化的，提交能够证实其身份变更的材料； 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2）房屋面积、界址范围发生变化的，除应提交变更后的不动产权籍调查表、宗地图、宗地界址点坐标等不动产权籍调查成果外，还需提交：①属部分土地收回引起房屋面积、界址变更的，提交人民政府收回决定书；②改建、扩建引起房屋面积、界址变更的，提交规划验收文件和房屋竣工验收文件；③因自然灾害导致部分房屋灭失的，提交部分房屋灭失的材料；④其他面积、界址变更情形的，提交有权机关出具的批准文件。依法需要补交土地出让价款的，还应当提交土地出让合同补充协议和土地价款缴纳凭证；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（3）用途发生变化的，提交城市规划部门出具的批准文件、与自然资源主管部门签订的土地出让合同补充协议。依法需要补交土地出让价款的，还应当提交土地价款以及相关税费缴纳凭证；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（4）国有建设用地使用权的权利期限发生变化的，提交自然资源主管部门出具的批准文件和出让合同补充协议。依法需要补交土地出让价款的，还应当提交土地价款缴纳凭证；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（5）同一权利人分割或者合并不动产的，应当按有关规定提交相关部门同意分割或合并的批准文件；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（6）共有性质变更的，提交共有性质变更协议书或生效法律文书。</w:t>
            </w:r>
          </w:p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5、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办理时限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及依据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财政部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国家发展改革委关于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减免部分行政事业性收费有关政策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的通知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财税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[201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]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45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号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pict>
                <v:rect id="矩形 1" o:spid="_x0000_s1027" o:spt="1" style="position:absolute;left:0pt;margin-left:0pt;margin-top:-21.75pt;height:39.75pt;width:601.5pt;visibility:hidden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办理流程</w:t>
            </w:r>
          </w:p>
        </w:tc>
        <w:tc>
          <w:tcPr>
            <w:tcW w:w="7513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申请--受理--审核--登簿--核发证书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6919BE"/>
    <w:rsid w:val="00373B7F"/>
    <w:rsid w:val="006919BE"/>
    <w:rsid w:val="00FE3DAB"/>
    <w:rsid w:val="68157D28"/>
    <w:rsid w:val="7CE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890</Characters>
  <Lines>7</Lines>
  <Paragraphs>2</Paragraphs>
  <TotalTime>0</TotalTime>
  <ScaleCrop>false</ScaleCrop>
  <LinksUpToDate>false</LinksUpToDate>
  <CharactersWithSpaces>1043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2021-05-28T01:19:00Z</dcterms:created>
  <dc:creator>杨晓利</dc:creator>
  <cp:lastModifiedBy>小叶子</cp:lastModifiedBy>
  <dcterms:modified xsi:type="dcterms:W3CDTF">2024-04-28T11:27:05Z</dcterms:modified>
  <dc:title>承德市不动产登记中心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AA0DE2DE41784595972B35455DF0BDB1_12</vt:lpwstr>
  </property>
</Properties>
</file>