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  <w:lang w:val="en-US" w:eastAsia="zh-CN"/>
        </w:rPr>
        <w:t>建设工程规划许可</w:t>
      </w:r>
      <w:r>
        <w:rPr>
          <w:rFonts w:hint="eastAsia" w:ascii="华文中宋" w:hAnsi="华文中宋" w:eastAsia="华文中宋" w:cs="华文中宋"/>
          <w:color w:val="000000"/>
          <w:sz w:val="36"/>
          <w:szCs w:val="36"/>
          <w:lang w:val="en-US" w:eastAsia="zh-CN"/>
        </w:rPr>
        <w:t>办事指南</w:t>
      </w:r>
    </w:p>
    <w:tbl>
      <w:tblPr>
        <w:tblStyle w:val="4"/>
        <w:tblW w:w="8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4"/>
        <w:gridCol w:w="6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属性名称</w:t>
            </w:r>
          </w:p>
        </w:tc>
        <w:tc>
          <w:tcPr>
            <w:tcW w:w="60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属性内容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事项名称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建设工程规划许可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承办机构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hint="default" w:ascii="仿宋" w:hAnsi="仿宋" w:eastAsia="仿宋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承德县</w:t>
            </w:r>
            <w:r>
              <w:rPr>
                <w:rFonts w:hint="eastAsia" w:ascii="仿宋" w:hAnsi="仿宋" w:eastAsia="仿宋"/>
                <w:kern w:val="0"/>
                <w:sz w:val="24"/>
                <w:szCs w:val="28"/>
                <w:lang w:val="en-US" w:eastAsia="zh-CN"/>
              </w:rPr>
              <w:t>自然资源和规划局详细规划股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实施对象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自然人/法人/其他组织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设定依据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《中华人民共和国城乡规划法》第四十条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《河北省城乡规划条例》第五十二条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申请材料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1.建设行政许可申请书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2.承德县建设工程规划申请表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3.使用土地的有关证明文件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4.经审定的建设工程设计方案（经审定的修建性详细规划或规划设计方案、建筑面积核算单、总平面布置图、平面图、立面图、剖面图、基础平面布置图，折为A4大小）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5.经审定的规划、建筑方案公示照片（A4大小）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6.住宅项目需提供保障性住房配建协议、实施方案及审查意见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7.住宅项目需提供与社区办或乡镇政府签订的社区用房供房协议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8.政府有关文件及会议研究情况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  <w:lang w:val="en-US" w:eastAsia="zh-CN"/>
              </w:rPr>
              <w:t>9.</w:t>
            </w: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修建性详细规划或规划设计方案、总平面布置图、平面图、立面图、剖面图、基础平面布置图（pdf及dwg格式，规划方案提供历次审议版本及最终版）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  <w:lang w:val="en-US" w:eastAsia="zh-CN"/>
              </w:rPr>
              <w:t>10.</w:t>
            </w: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宗地坐标文件（TXT格式）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办理时限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个工作日办结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收费标准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及依据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</w:rPr>
            </w:pPr>
            <w:bookmarkStart w:id="0" w:name="_GoBack"/>
            <w:r>
              <w:rPr>
                <w:rFonts w:hint="eastAsia" w:ascii="仿宋" w:hAnsi="仿宋" w:eastAsia="仿宋"/>
                <w:kern w:val="0"/>
                <w:sz w:val="24"/>
                <w:szCs w:val="28"/>
                <w:lang w:val="en-US" w:eastAsia="zh-CN"/>
              </w:rPr>
              <w:t>承德市财政局关于明确</w:t>
            </w: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城市基础设施配套费</w:t>
            </w:r>
            <w:r>
              <w:rPr>
                <w:rFonts w:hint="eastAsia" w:ascii="仿宋" w:hAnsi="仿宋" w:eastAsia="仿宋"/>
                <w:kern w:val="0"/>
                <w:sz w:val="24"/>
                <w:szCs w:val="28"/>
                <w:lang w:val="en-US" w:eastAsia="zh-CN"/>
              </w:rPr>
              <w:t>征收标准等有关事项的通知（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承财城建</w:t>
            </w:r>
            <w:r>
              <w:rPr>
                <w:rFonts w:ascii="仿宋" w:hAnsi="仿宋" w:eastAsia="仿宋"/>
                <w:sz w:val="24"/>
              </w:rPr>
              <w:t>[201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  <w:r>
              <w:rPr>
                <w:rFonts w:ascii="仿宋" w:hAnsi="仿宋" w:eastAsia="仿宋"/>
                <w:sz w:val="24"/>
              </w:rPr>
              <w:t>]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</w:t>
            </w:r>
            <w:r>
              <w:rPr>
                <w:rFonts w:ascii="仿宋" w:hAnsi="仿宋" w:eastAsia="仿宋"/>
                <w:sz w:val="24"/>
              </w:rPr>
              <w:t>号</w:t>
            </w:r>
            <w:r>
              <w:rPr>
                <w:rFonts w:hint="eastAsia" w:ascii="仿宋" w:hAnsi="仿宋" w:eastAsia="仿宋"/>
                <w:kern w:val="0"/>
                <w:sz w:val="24"/>
                <w:szCs w:val="28"/>
                <w:lang w:val="en-US" w:eastAsia="zh-CN"/>
              </w:rPr>
              <w:t>）</w:t>
            </w: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：</w:t>
            </w:r>
          </w:p>
          <w:bookmarkEnd w:id="0"/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中心城区住宅及非住宅项目90元/平方米</w:t>
            </w:r>
          </w:p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非中心城区住宅及非住宅项目40元/平方米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办理流程</w:t>
            </w:r>
          </w:p>
        </w:tc>
        <w:tc>
          <w:tcPr>
            <w:tcW w:w="6005" w:type="dxa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申请--受理--审核--核发证书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E2NjdkYmZjMDJiZmI2N2Y2NDdjODM5MWQ5M2NiOGEifQ=="/>
  </w:docVars>
  <w:rsids>
    <w:rsidRoot w:val="00444274"/>
    <w:rsid w:val="00444274"/>
    <w:rsid w:val="00D84B8D"/>
    <w:rsid w:val="46A92F5E"/>
    <w:rsid w:val="53AB2B72"/>
    <w:rsid w:val="7AF77044"/>
    <w:rsid w:val="7C1B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autoRedefine/>
    <w:qFormat/>
    <w:uiPriority w:val="34"/>
  </w:style>
  <w:style w:type="character" w:customStyle="1" w:styleId="7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125</Words>
  <Characters>717</Characters>
  <Lines>5</Lines>
  <Paragraphs>1</Paragraphs>
  <TotalTime>0</TotalTime>
  <ScaleCrop>false</ScaleCrop>
  <LinksUpToDate>false</LinksUpToDate>
  <CharactersWithSpaces>841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2021-05-28T03:08:00Z</dcterms:created>
  <dc:creator>杨晓利</dc:creator>
  <cp:lastModifiedBy>小叶子</cp:lastModifiedBy>
  <dcterms:modified xsi:type="dcterms:W3CDTF">2024-04-28T10:06:58Z</dcterms:modified>
  <dc:title>承德市不动产登记中心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C1814F34AB1D4F81BF30FC16E664834E_12</vt:lpwstr>
  </property>
</Properties>
</file>