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承德县不动产登记中心</w:t>
      </w:r>
    </w:p>
    <w:p>
      <w:pPr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宅基地使用权及房屋所有权注销登记办事指南</w:t>
      </w:r>
    </w:p>
    <w:tbl>
      <w:tblPr>
        <w:tblStyle w:val="4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4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60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事项名称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宅基地使用权及房屋所有权注销登记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承德县不动产登记中心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《中华人民共和国民法典》（中华人民共和国主席令第45号）</w:t>
            </w:r>
            <w:r>
              <w:rPr>
                <w:rFonts w:hint="eastAsia" w:ascii="仿宋" w:hAnsi="仿宋" w:eastAsia="仿宋"/>
                <w:sz w:val="24"/>
              </w:rPr>
              <w:t>第二百零九条、第二百一十条、第三百六十五条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  <w:r>
              <w:rPr>
                <w:rFonts w:ascii="仿宋" w:hAnsi="仿宋" w:eastAsia="仿宋"/>
                <w:sz w:val="24"/>
              </w:rPr>
              <w:t>《不动产登记暂行条例》（中华人民共和国</w:t>
            </w:r>
            <w:r>
              <w:rPr>
                <w:rFonts w:hint="eastAsia" w:ascii="仿宋" w:hAnsi="仿宋" w:eastAsia="仿宋"/>
                <w:sz w:val="24"/>
              </w:rPr>
              <w:t>国务院令第656号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1、不动产登记申请书；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2、申请人身份证明；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3、不动产权属证书；</w:t>
            </w: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</w:t>
            </w:r>
            <w:r>
              <w:rPr>
                <w:rFonts w:ascii="仿宋" w:hAnsi="仿宋" w:eastAsia="仿宋"/>
                <w:sz w:val="24"/>
                <w:szCs w:val="24"/>
              </w:rPr>
              <w:t>宅基地使用权及房屋所有权消灭的材料，包括：</w:t>
            </w: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（1）宅基地、房屋灭失的，提交其灭失的材料；</w:t>
            </w: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（2）权利人放弃宅基地使用权及房屋所有权的，提交权利人放弃权利的书面文件。被放弃的宅基地、房屋设有地役权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的</w:t>
            </w:r>
            <w:r>
              <w:rPr>
                <w:rFonts w:ascii="仿宋" w:hAnsi="仿宋" w:eastAsia="仿宋"/>
                <w:sz w:val="24"/>
                <w:szCs w:val="24"/>
              </w:rPr>
              <w:t>，需提交地役权人同意注销的书面材料；</w:t>
            </w:r>
          </w:p>
          <w:p>
            <w:pPr>
              <w:pStyle w:val="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（3）依法没收、征收、收回宅基地使用权或者房屋所有权的，提交人民政府做出的生效决定书；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（4）因人民法院或者仲裁委员会生效法律文书导致权利消灭的，提交人民法院或者仲裁委员会生效法律文书。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代为申请的，提交授权委托书、代理人居民身份证等身份证明材料。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1个工作日办结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国家发展改革委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、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财政部关于不动产登记收费标准等有关问题的通知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发改价格规[2016]2559号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）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pict>
                <v:rect id="矩形 1" o:spid="_x0000_s1026" o:spt="1" style="position:absolute;left:0pt;margin-left:0pt;margin-top:-21.75pt;height:39.75pt;width:601.5pt;visibility:hidden;z-index:251659264;mso-width-relative:page;mso-height-relative:page;" filled="f" o:preferrelative="t" stroked="f" coordsize="21600,21600">
                  <v:path/>
                  <v:fill on="f"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：免收不动产登记费。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6005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申请--受理--审核--登簿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追责情形依据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《不动产登记暂行条例》第三十条、第三十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第三十二条；</w:t>
            </w:r>
          </w:p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、《不动产登记暂行条例实施细则》第一百零三条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第一百零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咨询电话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0314-3116371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办理地址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承德县政务服务中心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（下板城镇大杖子瓦房回迁楼20号）</w:t>
            </w:r>
          </w:p>
        </w:tc>
      </w:tr>
      <w:bookmarkEnd w:id="0"/>
    </w:tbl>
    <w:p/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E2NjdkYmZjMDJiZmI2N2Y2NDdjODM5MWQ5M2NiOGEifQ=="/>
  </w:docVars>
  <w:rsids>
    <w:rsidRoot w:val="00A9210C"/>
    <w:rsid w:val="00A9210C"/>
    <w:rsid w:val="00CE1F14"/>
    <w:rsid w:val="099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autoRedefine/>
    <w:qFormat/>
    <w:uiPriority w:val="34"/>
  </w:style>
  <w:style w:type="paragraph" w:customStyle="1" w:styleId="7">
    <w:name w:val="段"/>
    <w:link w:val="1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段 Char"/>
    <w:link w:val="7"/>
    <w:qFormat/>
    <w:uiPriority w:val="0"/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2021-05-27T08:27:00Z</dcterms:created>
  <dc:creator>杨晓利</dc:creator>
  <cp:lastModifiedBy>小叶子</cp:lastModifiedBy>
  <dcterms:modified xsi:type="dcterms:W3CDTF">2024-04-28T11:19:04Z</dcterms:modified>
  <dc:title>承德市不动产登记中心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86B1C9A7C433480797D68AE694609E40_12</vt:lpwstr>
  </property>
</Properties>
</file>